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9C9" w:rsidRPr="002A09C9" w:rsidRDefault="002A09C9" w:rsidP="002A09C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  <w:t>РОССИЙСКАЯ ФЕДЕРАЦИЯ</w:t>
      </w:r>
    </w:p>
    <w:p w:rsidR="002A09C9" w:rsidRPr="002A09C9" w:rsidRDefault="002A09C9" w:rsidP="002A09C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  <w:t>БРЯНСКАЯ ОБЛАСТЬ ВЫГОНИЧСКИЙ РАЙОН</w:t>
      </w:r>
    </w:p>
    <w:p w:rsidR="002A09C9" w:rsidRPr="002A09C9" w:rsidRDefault="002A09C9" w:rsidP="002A09C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  <w:t>ОРМЕНСКИЙ СЕЛЬСКИЙ СОВЕТ НАРОДНЫХ ДЕПУТАТОВ 5-ГО</w:t>
      </w:r>
      <w:r w:rsidRPr="002A09C9">
        <w:rPr>
          <w:rFonts w:ascii="Arial" w:eastAsia="Times New Roman" w:hAnsi="Arial" w:cs="Arial"/>
          <w:color w:val="1E1D1E"/>
          <w:sz w:val="30"/>
          <w:szCs w:val="30"/>
          <w:lang w:eastAsia="ru-RU"/>
        </w:rPr>
        <w:t xml:space="preserve"> </w:t>
      </w:r>
      <w:r w:rsidRPr="002A09C9">
        <w:rPr>
          <w:rFonts w:ascii="Arial" w:eastAsia="Times New Roman" w:hAnsi="Arial" w:cs="Arial"/>
          <w:b/>
          <w:color w:val="1E1D1E"/>
          <w:sz w:val="30"/>
          <w:szCs w:val="30"/>
          <w:lang w:eastAsia="ru-RU"/>
        </w:rPr>
        <w:t>СОЗЫВА</w:t>
      </w: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</w:t>
      </w:r>
      <w:proofErr w:type="gramEnd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Е Ш Е Н И Е</w:t>
      </w: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 24декабря 2024 г. № 24</w:t>
      </w: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д. </w:t>
      </w:r>
      <w:proofErr w:type="spellStart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Орменка</w:t>
      </w:r>
      <w:proofErr w:type="spellEnd"/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«О бюджете   </w:t>
      </w:r>
      <w:proofErr w:type="spellStart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   сельского  поселения</w:t>
      </w: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муниципального района </w:t>
      </w:r>
      <w:proofErr w:type="gramStart"/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Брянской</w:t>
      </w:r>
      <w:proofErr w:type="gramEnd"/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области  на 2025 год  и на плановый период 2026</w:t>
      </w:r>
    </w:p>
    <w:p w:rsidR="002A09C9" w:rsidRPr="002A09C9" w:rsidRDefault="002A09C9" w:rsidP="002A09C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и 2027 годов»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A09C9" w:rsidRPr="002A09C9" w:rsidRDefault="002A09C9" w:rsidP="002A0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основные характеристики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год: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 прогнозируемый общий объем доходов бюджета в сумме 4 438 681,94 рубля, в том числе налоговые и неналоговые доходы  в  сумме 2 406 000,00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общий объем расходов  бюджета в сумме 4 438 681,94 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 прогнозируемый дефицит  бюджета в сумме равной 0,00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1 января 2026 года в сумме 0,00 рубля, в том числе 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по муниципальным гарантиям в сумме 0,00 рубля.</w:t>
      </w:r>
    </w:p>
    <w:p w:rsidR="002A09C9" w:rsidRPr="002A09C9" w:rsidRDefault="002A09C9" w:rsidP="002A09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основные характеристики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плановый период 2026 год и на 2027 годов: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 прогнозируемый общий объем доходов бюджета на 2026 год в сумме  4 983 012,94 рубля, в том числе налоговые и неналоговые доходы в сумме 2 491 000,00 рубля и на 2027 год в сумме 5 517 320,94 рубля, в том числе налоговые и неналоговые доходы в сумме 2 518 000,00 рубля.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     общий объем расходов бюджета на 2026 год в сумме 4 983 012,94 рубля, в том числе условно утвержденные расходы в сумме 77 777,00 рубля и на 2027 год в </w:t>
      </w: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сумме 5 517 320,94  рубля, в том числе  условно  утвержденные  расходы в сумме 156 911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 прогнозируемый дефицит  бюджета на 2026 год в сумме равной 0,00 рубля, на 2027 год в сумме равной 0,00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1 января 2027 года в сумме 0,00 рубля, в том числе 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Орменкского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по муниципальным гарантиям в сумме 0,00 рубля;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1 января 2028 года в сумме 0,00 рубля, в том числе верхний предел муниципального внутреннего долга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по муниципальным гарантиям в сумме 0,00 рубля.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прогнозируемые доходы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 на плановый период 2026 и 2027 годов согласно приложению 1 к настоящему Решению.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bookmarkStart w:id="0" w:name="_Toc164233586"/>
      <w:bookmarkEnd w:id="0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ведомственную структуру расходов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 и на плановый период 2026 и 2027 годов согласно приложению 2 к настоящему Решению.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непрограммным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направлениям деятельности), группам и подгруппам видов на 2025 год и на плановый период 2026 и 2027 годов согласно приложению 3 к настоящему Решению.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распределение расходов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по целевым статьям (муниципальным программам и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непрограммным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направлениям деятельности), группам и подгруппам видов расходов на 2025 год и на плановый период 2026 и 2027 годов согласно приложению 4 к настоящему Решению.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Утвердить общий объем бюджетных ассигнований на исполнение публичных нормативных обязательств на 2025 год в сумме 164 122,00 рубля, на 2026 год в сумме 164 122,00 рубля, на 2027 год, в сумме 164 122,00 рубля.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объем межбюджетных трансфертов, получаемых из других бюджетов в бюджет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области, на 2025 год в сумме 2 032 681,94 рубля, на 2026 год в сумме 2 492 012,94 рубля и на 2027 год 2 999 320,94 рубля.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Установить размер резервного фонда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 на 2025 год в сумме 1 000,00 рубля, на 2026 год в сумме 1 000,00 рубля, на 2027 год в сумме 1 000,00 рубля.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Субсидии юридическим лицам (за исключением муниципальных учреждений), индивидуальным предпринимателям, физическим лицам в соответствии со статьей 78 Бюджетного кодекса Российской Федерации, субсидии некоммерческим организациям, не являющимся муниципальными учреждениями, в соответствии с пунктом 2 статьи 78.1 Бюджетного кодекса Российской Федерации предоставляются в порядке, установленном Правительством Российской Федерации, в случаях, если расходы на их </w:t>
      </w: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предоставление предусмотрены приложением 2 к настоящему Решению и (или</w:t>
      </w:r>
      <w:proofErr w:type="gram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) сводной бюджетной росписью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области.</w:t>
      </w:r>
    </w:p>
    <w:p w:rsidR="002A09C9" w:rsidRPr="002A09C9" w:rsidRDefault="002A09C9" w:rsidP="002A09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Установить в соответствии с пунктом 8 статьи 217 Бюджетного кодекса Российской Федерации дополнительные основания для внесения изменений в сводную бюджетную роспись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без внесения изменений в настоящее Решение: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увеличение бюджетных ассигнований за счет межбюджетных трансфертов из областного и районного бюджетов сверх объемов, утвержденных настоящим Решением, или сокращение указанных ассигнований в пределах доведенных (сокращенных) главным распорядителем средств областного и районного бюджетов лимитов бюджетных обязательств;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увеличение бюджетных ассигнований, соответствующих целям предоставления из областного и районного бюджетов субсидий и иных межбюджетных трансфертов, имеющих целевое назначение, в объеме, не превышающем неиспользованные остатки указанных межбюджетных трансфертов на начало текущего финансового года, по которым главным администратором доходов областного и районного бюджетов подтверждена потребность в направлении их на те же цели в текущем финансовом году в соответствии с пунктом 5</w:t>
      </w:r>
      <w:proofErr w:type="gram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статьи 242 Бюджетного кодекса Российской Федерации;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увеличение бюджетных ассигнований в связи с использованием доходов, фактически полученных при исполнении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сверх утвержденных Решением о бюджете поселения, по основаниям, установленным пунктом 2 статьи 232 Бюджетного кодекса Российской Федерации;</w:t>
      </w:r>
      <w:proofErr w:type="gramEnd"/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уточнение кодов бюджетной классификации расходов в рамках требований казначейского исполнения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Выгоничскгого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области, а также в случае изменения Министерством финансов Российской Федерации, департаментом финансов Брянской области и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администрацией порядка применения бюджетной классификации;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перераспределение бюджетных ассигнований в целях исполнения решений налоговых и иных уполномоченных органов о взыскании налогов, сборов, пеней и штрафов, предусматривающих обращение взыскания на средства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в соответствии с действующим законодательством.   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 </w:t>
      </w: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абзацами вторым, третьим и четвертым настоящего пункта, в соответствии с которыми внесение изменений в сводную бюджетную роспись может осуществляться с превышением общего объема расходов, утвержденного настоящим решением.</w:t>
      </w:r>
      <w:proofErr w:type="gramEnd"/>
    </w:p>
    <w:p w:rsidR="002A09C9" w:rsidRPr="002A09C9" w:rsidRDefault="002A09C9" w:rsidP="002A09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Установить, что остатки средств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начало текущего финансового года, за исключением остатков неиспользованных межбюджетных трансфертов, полученных бюджетом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в форме субсидий, </w:t>
      </w: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субвенций и иных межбюджетных трансфертов, имеющих целевое назначение, в объеме до 100 процентов могут направляться в текущем финансовом году на покрытие временных кассовых</w:t>
      </w:r>
      <w:proofErr w:type="gram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</w:t>
      </w: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разрывов, возникающих при исполнении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области, и на увеличение бюджетных ассигнований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 в объеме, не превышающем сумму остатка неиспользованных бюджетных ассигнований на указанные цели.</w:t>
      </w:r>
      <w:proofErr w:type="gramEnd"/>
    </w:p>
    <w:p w:rsidR="002A09C9" w:rsidRPr="002A09C9" w:rsidRDefault="002A09C9" w:rsidP="002A09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 соответствии с подпунктом 2.2. пункта 2 Положения об оплате труда выборных должностных лиц  местного самоуправления, осуществляющих свои полномочия на постоянной основе, и муниципальных служащих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поселения, утвержденного решением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Совета народных депутатов от 24.02.2022 г. № 64-а «Об оплате труда выборных должностных лиц местного самоуправления, осуществляющих свои полномочия на постоянной основе, и муниципальных служащих муниципального   образования «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Орменское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сельское</w:t>
      </w:r>
      <w:proofErr w:type="gram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поселение»», увеличить (проиндексировать) в 1,045 раза с 1 октября 2025 года размеры месячных окладов муниципальных служащих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в соответствии с замещаемыми ими должностями муниципальной службы.</w:t>
      </w:r>
    </w:p>
    <w:p w:rsidR="002A09C9" w:rsidRPr="002A09C9" w:rsidRDefault="002A09C9" w:rsidP="002A09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объем и структуру источников внутреннего финансирования дефицита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 и на плановый период 2026 и 2027 годов согласно приложению 5 к настоящему Решению.</w:t>
      </w:r>
    </w:p>
    <w:p w:rsidR="002A09C9" w:rsidRPr="002A09C9" w:rsidRDefault="002A09C9" w:rsidP="002A09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Орменскоая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сельская администрация вправе осуществлять муниципальные заимствования с целью: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      финансирования дефицита бюджета;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      погашения муниципальных долговых обязательств;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           покрытия временных кассовых разрывов, возникающих при исполнении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области.</w:t>
      </w:r>
    </w:p>
    <w:p w:rsidR="002A09C9" w:rsidRPr="002A09C9" w:rsidRDefault="002A09C9" w:rsidP="002A09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программу муниципальных внутренних заимствований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 и на плановый период 2026 и 2027 годов согласно приложению 6 к настоящему Решению.</w:t>
      </w:r>
    </w:p>
    <w:p w:rsidR="002A09C9" w:rsidRPr="002A09C9" w:rsidRDefault="002A09C9" w:rsidP="002A09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программу муниципальных гарантий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на 2025 год и на плановый период 2026 и 2027 годов согласно приложению 7 к настоящему Решению.</w:t>
      </w:r>
    </w:p>
    <w:p w:rsidR="002A09C9" w:rsidRPr="002A09C9" w:rsidRDefault="002A09C9" w:rsidP="002A09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 ежеквартально представлять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Орменскому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сельскому Совету народных депутатов и Контрольно-счетной палате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района утвержденный отчет об исполнении бюджета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в течение 45 дней после наступления отчетной даты в соответствии со структурой, применяемой при утверждении бюджета.</w:t>
      </w:r>
    </w:p>
    <w:p w:rsidR="002A09C9" w:rsidRPr="002A09C9" w:rsidRDefault="002A09C9" w:rsidP="002A09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Настоящее Решение подлежит опубликованию (обнародованию) в сборнике нормативных правовых актов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и дополнительному размещению на сайте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 (</w:t>
      </w:r>
      <w:hyperlink r:id="rId5" w:history="1">
        <w:r w:rsidRPr="002A09C9">
          <w:rPr>
            <w:rFonts w:ascii="Arial" w:eastAsia="Times New Roman" w:hAnsi="Arial" w:cs="Arial"/>
            <w:color w:val="2082C7"/>
            <w:sz w:val="23"/>
            <w:lang w:eastAsia="ru-RU"/>
          </w:rPr>
          <w:t>http://www.ormenskoe.ru/</w:t>
        </w:r>
      </w:hyperlink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).</w:t>
      </w:r>
    </w:p>
    <w:p w:rsidR="002A09C9" w:rsidRPr="002A09C9" w:rsidRDefault="002A09C9" w:rsidP="002A09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Настоящее решение вступает в силу с 1 января 2025 года.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A09C9" w:rsidRPr="002A09C9" w:rsidRDefault="002A09C9" w:rsidP="002A09C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Глава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поселения                                             А.И. </w:t>
      </w:r>
      <w:proofErr w:type="spellStart"/>
      <w:r w:rsidRPr="002A09C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Лосинкова</w:t>
      </w:r>
      <w:proofErr w:type="spellEnd"/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905FB"/>
    <w:multiLevelType w:val="multilevel"/>
    <w:tmpl w:val="5264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B05DC"/>
    <w:multiLevelType w:val="multilevel"/>
    <w:tmpl w:val="F36C2F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601DD"/>
    <w:multiLevelType w:val="multilevel"/>
    <w:tmpl w:val="3438C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8356F"/>
    <w:multiLevelType w:val="multilevel"/>
    <w:tmpl w:val="2FCC0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6735A"/>
    <w:multiLevelType w:val="multilevel"/>
    <w:tmpl w:val="03FE9D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9C9"/>
    <w:rsid w:val="002A09C9"/>
    <w:rsid w:val="00957352"/>
    <w:rsid w:val="00F3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paragraph" w:styleId="2">
    <w:name w:val="heading 2"/>
    <w:basedOn w:val="a"/>
    <w:link w:val="20"/>
    <w:uiPriority w:val="9"/>
    <w:qFormat/>
    <w:rsid w:val="002A0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0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0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9C9"/>
    <w:rPr>
      <w:b/>
      <w:bCs/>
    </w:rPr>
  </w:style>
  <w:style w:type="character" w:styleId="a5">
    <w:name w:val="Hyperlink"/>
    <w:basedOn w:val="a0"/>
    <w:uiPriority w:val="99"/>
    <w:semiHidden/>
    <w:unhideWhenUsed/>
    <w:rsid w:val="002A09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rmensko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9704</Characters>
  <Application>Microsoft Office Word</Application>
  <DocSecurity>0</DocSecurity>
  <Lines>80</Lines>
  <Paragraphs>22</Paragraphs>
  <ScaleCrop>false</ScaleCrop>
  <Company>Microsoft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2025-01-16T13:05:00Z</dcterms:created>
  <dcterms:modified xsi:type="dcterms:W3CDTF">2025-01-16T13:05:00Z</dcterms:modified>
</cp:coreProperties>
</file>